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70" w:rsidRPr="004430C5" w:rsidRDefault="004430C5" w:rsidP="004430C5">
      <w:pPr>
        <w:jc w:val="center"/>
        <w:rPr>
          <w:rFonts w:hint="eastAsia"/>
          <w:b/>
          <w:sz w:val="36"/>
          <w:szCs w:val="36"/>
        </w:rPr>
      </w:pPr>
      <w:r w:rsidRPr="004430C5">
        <w:rPr>
          <w:rFonts w:hint="eastAsia"/>
          <w:b/>
          <w:sz w:val="36"/>
          <w:szCs w:val="36"/>
        </w:rPr>
        <w:t>2015</w:t>
      </w:r>
      <w:r w:rsidRPr="004430C5">
        <w:rPr>
          <w:rFonts w:hint="eastAsia"/>
          <w:b/>
          <w:sz w:val="36"/>
          <w:szCs w:val="36"/>
        </w:rPr>
        <w:t>年度立项科研课题信息表</w:t>
      </w:r>
    </w:p>
    <w:p w:rsidR="004430C5" w:rsidRDefault="004430C5">
      <w:pPr>
        <w:rPr>
          <w:rFonts w:hint="eastAsia"/>
        </w:rPr>
      </w:pPr>
    </w:p>
    <w:tbl>
      <w:tblPr>
        <w:tblW w:w="15022" w:type="dxa"/>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440"/>
        <w:gridCol w:w="6218"/>
        <w:gridCol w:w="2016"/>
        <w:gridCol w:w="2016"/>
        <w:gridCol w:w="1440"/>
        <w:gridCol w:w="992"/>
      </w:tblGrid>
      <w:tr w:rsidR="004430C5" w:rsidRPr="004B2592" w:rsidTr="004B2592">
        <w:trPr>
          <w:trHeight w:val="573"/>
        </w:trPr>
        <w:tc>
          <w:tcPr>
            <w:tcW w:w="900"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编号</w:t>
            </w:r>
          </w:p>
        </w:tc>
        <w:tc>
          <w:tcPr>
            <w:tcW w:w="6218"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项  目  名  称</w:t>
            </w:r>
          </w:p>
        </w:tc>
        <w:tc>
          <w:tcPr>
            <w:tcW w:w="2016"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项目</w:t>
            </w:r>
          </w:p>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来源</w:t>
            </w:r>
          </w:p>
        </w:tc>
        <w:tc>
          <w:tcPr>
            <w:tcW w:w="2016"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Ansi="宋体" w:hint="eastAsia"/>
                <w:b/>
                <w:sz w:val="18"/>
                <w:szCs w:val="18"/>
              </w:rPr>
            </w:pPr>
            <w:r w:rsidRPr="004B2592">
              <w:rPr>
                <w:rFonts w:ascii="楷体_GB2312" w:eastAsia="楷体_GB2312" w:hint="eastAsia"/>
                <w:b/>
                <w:sz w:val="18"/>
                <w:szCs w:val="18"/>
              </w:rPr>
              <w:t>承担部门</w:t>
            </w:r>
          </w:p>
        </w:tc>
        <w:tc>
          <w:tcPr>
            <w:tcW w:w="1440"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项  目</w:t>
            </w:r>
          </w:p>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负责人</w:t>
            </w:r>
          </w:p>
        </w:tc>
        <w:tc>
          <w:tcPr>
            <w:tcW w:w="992" w:type="dxa"/>
            <w:tcBorders>
              <w:top w:val="single" w:sz="4" w:space="0" w:color="auto"/>
              <w:left w:val="single" w:sz="4" w:space="0" w:color="auto"/>
              <w:bottom w:val="single" w:sz="4" w:space="0" w:color="auto"/>
              <w:right w:val="single" w:sz="4" w:space="0" w:color="auto"/>
            </w:tcBorders>
            <w:vAlign w:val="center"/>
          </w:tcPr>
          <w:p w:rsidR="004430C5" w:rsidRPr="004B2592" w:rsidRDefault="004430C5" w:rsidP="004B2592">
            <w:pPr>
              <w:spacing w:line="200" w:lineRule="exact"/>
              <w:rPr>
                <w:rFonts w:ascii="楷体_GB2312" w:eastAsia="楷体_GB2312" w:hint="eastAsia"/>
                <w:b/>
                <w:sz w:val="18"/>
                <w:szCs w:val="18"/>
              </w:rPr>
            </w:pPr>
          </w:p>
          <w:p w:rsidR="004430C5" w:rsidRPr="004B2592" w:rsidRDefault="004430C5" w:rsidP="004B2592">
            <w:pPr>
              <w:spacing w:line="200" w:lineRule="exact"/>
              <w:rPr>
                <w:rFonts w:ascii="楷体_GB2312" w:eastAsia="楷体_GB2312" w:hint="eastAsia"/>
                <w:b/>
                <w:sz w:val="18"/>
                <w:szCs w:val="18"/>
              </w:rPr>
            </w:pPr>
            <w:r w:rsidRPr="004B2592">
              <w:rPr>
                <w:rFonts w:ascii="楷体_GB2312" w:eastAsia="楷体_GB2312" w:hint="eastAsia"/>
                <w:b/>
                <w:sz w:val="18"/>
                <w:szCs w:val="18"/>
              </w:rPr>
              <w:t>经费</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15Y01</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2015GA740097</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北方全雌牙鲆的池塘养殖技术示范</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15Y02</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2015GA740098</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盐碱地南美白对虾与大鳞副鳅生态混养技术</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15Y03</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2015GA740099</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南美白对虾工厂化高密度生态养殖</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刘贤忠</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15Y04</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2015GA740100</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北方日本对虾的健康养殖及冬季室内高密度储养示范</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15Y05</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2015GA740101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南美白对虾肝胰腺坏死症综合防控技术推广</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张新明</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15Y06</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2015GA740102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蜂蜜安全检测控制技术的应用与推广</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15Y07</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2015GA740103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textAlignment w:val="center"/>
              <w:rPr>
                <w:rFonts w:ascii="楷体_GB2312" w:eastAsia="楷体_GB2312" w:hint="eastAsia"/>
                <w:sz w:val="18"/>
                <w:szCs w:val="18"/>
              </w:rPr>
            </w:pPr>
            <w:r w:rsidRPr="004B2592">
              <w:rPr>
                <w:rFonts w:ascii="楷体_GB2312" w:eastAsia="楷体_GB2312" w:hint="eastAsia"/>
                <w:sz w:val="18"/>
                <w:szCs w:val="18"/>
              </w:rPr>
              <w:t>南美白对虾工厂化健康安全高产养殖技术推广</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国家星火</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15Y08</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J15LF64</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厚壳贻贝北方海区苗种繁殖技术研究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省教育厅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r w:rsidRPr="004B2592">
              <w:rPr>
                <w:rFonts w:ascii="楷体_GB2312" w:eastAsia="楷体_GB2312" w:hint="eastAsia"/>
                <w:sz w:val="18"/>
                <w:szCs w:val="18"/>
              </w:rPr>
              <w:t>海洋</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辛荣</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15Y09</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J15LN84</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基于GPRS的脚手架载荷自控及远程管理系统</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省教育厅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r w:rsidRPr="004B2592">
              <w:rPr>
                <w:rFonts w:ascii="楷体_GB2312" w:eastAsia="楷体_GB2312" w:hint="eastAsia"/>
                <w:sz w:val="18"/>
                <w:szCs w:val="18"/>
              </w:rPr>
              <w:t xml:space="preserve"> 机电</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刘维东</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15Y10</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J15WF56</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城镇化进程中日照农民画的发展路径研究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省教育厅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r w:rsidRPr="004B2592">
              <w:rPr>
                <w:rFonts w:ascii="楷体_GB2312" w:eastAsia="楷体_GB2312" w:hint="eastAsia"/>
                <w:sz w:val="18"/>
                <w:szCs w:val="18"/>
              </w:rPr>
              <w:t>艺术</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王德聚</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15Y11</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J15WE37</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基于主客观双重需要驱动的高职大学生社会主义核心价值观培育研究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kern w:val="0"/>
                <w:sz w:val="18"/>
                <w:szCs w:val="18"/>
              </w:rPr>
              <w:t>省教育厅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spacing w:line="320" w:lineRule="exact"/>
              <w:rPr>
                <w:rFonts w:ascii="楷体_GB2312" w:eastAsia="楷体_GB2312" w:hint="eastAsia"/>
                <w:sz w:val="18"/>
                <w:szCs w:val="18"/>
              </w:rPr>
            </w:pPr>
            <w:r w:rsidRPr="004B2592">
              <w:rPr>
                <w:rFonts w:ascii="楷体_GB2312" w:eastAsia="楷体_GB2312" w:hint="eastAsia"/>
                <w:sz w:val="18"/>
                <w:szCs w:val="18"/>
              </w:rPr>
              <w:t>思政</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苗薇薇</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15Y12</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15-ZC-JY-01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山东中、高、本职业教育贯通培养有效衔接机制研究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省社科联</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李玉环</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15Y13</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411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中德汽车机电项目多方位培养师资的研究与实践</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省教科所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现代汽车学院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许崇霞</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0</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15Y14</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413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高职院校通识教育课程的开发与实施</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省教科所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石勤玲</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0</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15Y15</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682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翻转课堂教学模式在高职英语教学中的应用研究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省教科所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人文与旅游学院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刘加英</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0</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15Y16</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781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高职院校软件技术专业现代学徒制人才培养模式的研究与实践</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省教科所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电子信息工程学院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孙永芳</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5000</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15Y17</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2015 zcj079</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bCs/>
                <w:sz w:val="18"/>
                <w:szCs w:val="18"/>
              </w:rPr>
            </w:pPr>
            <w:r w:rsidRPr="004B2592">
              <w:rPr>
                <w:rFonts w:ascii="楷体_GB2312" w:eastAsia="楷体_GB2312" w:hAnsi="宋体" w:cs="宋体" w:hint="eastAsia"/>
                <w:bCs/>
                <w:sz w:val="18"/>
                <w:szCs w:val="18"/>
              </w:rPr>
              <w:t>社会主义核心价值观融入高职课程的研究与实践</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bCs/>
                <w:sz w:val="18"/>
                <w:szCs w:val="18"/>
              </w:rPr>
            </w:pPr>
            <w:r w:rsidRPr="004B2592">
              <w:rPr>
                <w:rFonts w:ascii="楷体_GB2312" w:eastAsia="楷体_GB2312" w:hAnsi="宋体" w:cs="宋体" w:hint="eastAsia"/>
                <w:bCs/>
                <w:sz w:val="18"/>
                <w:szCs w:val="18"/>
              </w:rPr>
              <w:t>省职成教</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bCs/>
                <w:sz w:val="18"/>
                <w:szCs w:val="18"/>
              </w:rPr>
            </w:pPr>
            <w:r w:rsidRPr="004B2592">
              <w:rPr>
                <w:rFonts w:ascii="楷体_GB2312" w:eastAsia="楷体_GB2312" w:hAnsi="宋体" w:cs="宋体" w:hint="eastAsia"/>
                <w:bCs/>
                <w:sz w:val="18"/>
                <w:szCs w:val="18"/>
              </w:rPr>
              <w:t>李波</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15Y18</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2015 zcj080</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bCs/>
                <w:sz w:val="18"/>
                <w:szCs w:val="18"/>
              </w:rPr>
            </w:pPr>
            <w:r w:rsidRPr="004B2592">
              <w:rPr>
                <w:rFonts w:ascii="楷体_GB2312" w:eastAsia="楷体_GB2312" w:hAnsi="宋体" w:cs="宋体" w:hint="eastAsia"/>
                <w:bCs/>
                <w:sz w:val="18"/>
                <w:szCs w:val="18"/>
              </w:rPr>
              <w:t>基于职业能力导向的旅游管理专业中高职课程体系衔接研究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bCs/>
                <w:sz w:val="18"/>
                <w:szCs w:val="18"/>
              </w:rPr>
            </w:pPr>
            <w:r w:rsidRPr="004B2592">
              <w:rPr>
                <w:rFonts w:ascii="楷体_GB2312" w:eastAsia="楷体_GB2312" w:hAnsi="宋体" w:cs="宋体" w:hint="eastAsia"/>
                <w:bCs/>
                <w:sz w:val="18"/>
                <w:szCs w:val="18"/>
              </w:rPr>
              <w:t>省职成教</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人文与旅游学院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bCs/>
                <w:sz w:val="18"/>
                <w:szCs w:val="18"/>
              </w:rPr>
            </w:pPr>
            <w:r w:rsidRPr="004B2592">
              <w:rPr>
                <w:rFonts w:ascii="楷体_GB2312" w:eastAsia="楷体_GB2312" w:hAnsi="宋体" w:cs="宋体" w:hint="eastAsia"/>
                <w:bCs/>
                <w:sz w:val="18"/>
                <w:szCs w:val="18"/>
              </w:rPr>
              <w:t>吉良新</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15Y19</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1506165</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音乐美学与大学生思想道德建设关系的研究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经贸学校</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刘洋</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15Y20</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1506222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鲁剧折射出的齐鲁文化对培育社会主义核心价值观的作用研究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陈捷</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15Y21</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1506270</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无障碍设计在城市园林建设中的研究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侯可雷</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15Y22</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1506271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建筑景观漫游动画设计探究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张慧</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15Y23</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1506532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少数民族文化多样性建设研究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尹德玉</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15Y24</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1506342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基于云计算的数字图书馆服务平台研究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电子信息工程学院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王涛</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15Y25</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1506272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环境艺术设计专业校企合作下的现代学徒制研究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葛磊</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15Y26</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1506273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中国京剧脸谱在儿童玩具包装中的应用与研究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图书馆</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胡胜男</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15Y27</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highlight w:val="lightGray"/>
              </w:rPr>
            </w:pPr>
            <w:r w:rsidRPr="004B2592">
              <w:rPr>
                <w:rFonts w:ascii="楷体_GB2312" w:eastAsia="楷体_GB2312" w:hint="eastAsia"/>
                <w:sz w:val="18"/>
                <w:szCs w:val="18"/>
                <w:highlight w:val="lightGray"/>
              </w:rPr>
              <w:t>1506343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城中村社区公共文化服务体系建设</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学生处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徐超</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15Y28</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1506344</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新媒体技术环境下图书馆阅读推广策略研究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申作兰</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15Y29</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1506533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儒家文化在主题酒店设计中的应用研究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人文</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张建霞</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15Y30</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1506534</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山东非物质文化遗产（莒县过门笺）保护与传承研究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人文与旅游学院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林德山</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15Y31</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1506535</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基于博弈论的非物质文化遗产保护研究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教务科研处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苏玉</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color w:val="800000"/>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15Y32</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1506598</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传统文化产业发展反哺传统文化机制研究——以山东水浒文化旅游产业为例</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董敏</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董敏</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15Y33</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1506599</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农村文化产业与特色农业融合发展的研究——以日照市五莲县为例</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梁成军</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15Y34</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ZX2015108</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对传统女性主体精神与文学的超越——李清照“丈夫气”新论</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文化厅（女）</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宣传部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任相梅</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15Y35</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ZX2015109</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浅析传统文化背景下我国现代女性文学对女大学生思想认知的影响</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文化厅（女）</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建筑工程学院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李宛臻</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15Y36</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ZX2015110</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中国传统文化视阈下当代女性价值观研究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文化厅（女）</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思想政治教学研究部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卢翠亭</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15Y37</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ZX2015111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现代旅游文化冲击下山东典型沿海渔村女性价值观的演化及适应性对策研究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文化厅（女）</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人文与旅游学院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贺锡玉</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5</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15Y38</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KT15196</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现代信息技术在统计工作中的应用研究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杨  琳</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5</w:t>
            </w: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15Y39</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KT15197</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物联网技术在统计工作中的应用研究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电子信息</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唐海和</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15Y40</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KT15198</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移动互联时代统计信息化建设研究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电子信息</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侯素玲</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15Y41</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KT15199</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基于作业流程的物流统计折合系数研究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申作兰</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15Y42</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KT15200</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文化产业评价指标体系研究——基于山东省的实证研究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时培芬</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15Y43</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绿色经济评价指标体系构建及空间统计分析</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杨  贺</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15Y44</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山东旅游产业化水平测度研究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人文</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林德山</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15Y45</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高校毕业生就业能力评价指标体系研究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校企合作与就业处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郭江友</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15Y46</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KT15204</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基于云存储环境的非结构化数据存储研究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会计学院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徐  栋</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15Y47</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KT15205</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基于养老保险收支平衡的最优退休年龄统计测度研究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代美丽</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15Y48</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KT15206</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地方债务风险预警系统研究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许志宏</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15Y49</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KT15207</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模糊综合评价在现代服务业发展评价指标体系中的应用</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张  涛</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15Y50</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KT15208</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山东省汽车运输企业能源消耗统计模型研究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现代汽车学院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李秀芬</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15Y51</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KT15209</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环境统计制度研究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黄连光</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15Y52</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KT15210</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基于数据仓库的高校毕业生信息管理平台建立研究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教务科研处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单洪伟</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15Y53</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KT15211</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推动能源生产和消费革命的统计研究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教务科研处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苏  玉</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15Y54</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KT15212</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综合化网络问卷调查平台建设与应用研究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教务科研处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盛雯雯</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15Y55</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KT15213</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spacing w:val="-4"/>
                <w:kern w:val="0"/>
                <w:sz w:val="18"/>
                <w:szCs w:val="18"/>
              </w:rPr>
            </w:pPr>
            <w:r w:rsidRPr="004B2592">
              <w:rPr>
                <w:rFonts w:ascii="楷体_GB2312" w:eastAsia="楷体_GB2312" w:hAnsi="宋体" w:cs="宋体" w:hint="eastAsia"/>
                <w:spacing w:val="-4"/>
                <w:kern w:val="0"/>
                <w:sz w:val="18"/>
                <w:szCs w:val="18"/>
              </w:rPr>
              <w:t>以“大数据”为基础建立文化产业统计体系研究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int="eastAsia"/>
                <w:sz w:val="18"/>
                <w:szCs w:val="18"/>
              </w:rPr>
              <w:t>教务科研处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张丽华</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E3F83"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15Y56</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KT15214</w:t>
            </w:r>
          </w:p>
        </w:tc>
        <w:tc>
          <w:tcPr>
            <w:tcW w:w="6218"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国有资产评估管理的统计测度研究</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r w:rsidRPr="004B2592">
              <w:rPr>
                <w:rFonts w:ascii="楷体_GB2312" w:eastAsia="楷体_GB2312" w:hAnsi="宋体" w:cs="宋体" w:hint="eastAsia"/>
                <w:sz w:val="18"/>
                <w:szCs w:val="18"/>
              </w:rPr>
              <w:t>省统计局</w:t>
            </w:r>
          </w:p>
        </w:tc>
        <w:tc>
          <w:tcPr>
            <w:tcW w:w="2016"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Ansi="宋体" w:cs="宋体" w:hint="eastAsia"/>
                <w:sz w:val="18"/>
                <w:szCs w:val="18"/>
              </w:rPr>
            </w:pPr>
            <w:r w:rsidRPr="004B2592">
              <w:rPr>
                <w:rFonts w:ascii="楷体_GB2312" w:eastAsia="楷体_GB2312" w:hint="eastAsia"/>
                <w:sz w:val="18"/>
                <w:szCs w:val="18"/>
              </w:rPr>
              <w:t>国有资产管理处</w:t>
            </w:r>
          </w:p>
        </w:tc>
        <w:tc>
          <w:tcPr>
            <w:tcW w:w="1440"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刘立娜</w:t>
            </w:r>
          </w:p>
        </w:tc>
        <w:tc>
          <w:tcPr>
            <w:tcW w:w="992" w:type="dxa"/>
            <w:tcBorders>
              <w:top w:val="single" w:sz="4" w:space="0" w:color="auto"/>
              <w:left w:val="single" w:sz="4" w:space="0" w:color="auto"/>
              <w:bottom w:val="single" w:sz="4" w:space="0" w:color="auto"/>
              <w:right w:val="single" w:sz="4" w:space="0" w:color="auto"/>
            </w:tcBorders>
            <w:vAlign w:val="center"/>
          </w:tcPr>
          <w:p w:rsidR="004E3F83" w:rsidRPr="004B2592" w:rsidRDefault="004E3F83"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15Y57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15Y57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经济新常态背景下日照中小企业的发展研究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财政</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庞靖麒</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4000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15Y58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15Y58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以弘扬传统文化为着力点的日照市文化产业发展路径研究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思想政治教学研究部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郭雁南</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3000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15Y59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15Y59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日照市公共文化服务体系建设研究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梁军妮</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5000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休闲体验经济下日照茶文化旅游的发展研究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国际</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丁立孝</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5000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日照市农业装备制造业实施品牌发展战略研究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现代汽车学院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王沛禹</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5000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全民健身背景下我市体育产业发展的调查与研究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体育部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马子理</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新农村居民精神文化生活模式建构</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招生办公室</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董凯</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家庭教育中传统文化的传承与发展研究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人文与旅游学院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燕梅</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3000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发挥日照社区大学办学优势提高市民文化素质</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继续教育学院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smartTag w:uri="urn:schemas-microsoft-com:office:smarttags" w:element="PersonName">
              <w:smartTagPr>
                <w:attr w:name="ProductID" w:val="王"/>
              </w:smartTagPr>
              <w:r w:rsidRPr="004B2592">
                <w:rPr>
                  <w:rFonts w:ascii="楷体_GB2312" w:eastAsia="楷体_GB2312" w:hAnsi="宋体" w:cs="宋体" w:hint="eastAsia"/>
                  <w:kern w:val="0"/>
                  <w:sz w:val="18"/>
                  <w:szCs w:val="18"/>
                </w:rPr>
                <w:t>王</w:t>
              </w:r>
            </w:smartTag>
            <w:r w:rsidRPr="004B2592">
              <w:rPr>
                <w:rFonts w:ascii="楷体_GB2312" w:eastAsia="楷体_GB2312" w:hAnsi="宋体" w:cs="宋体" w:hint="eastAsia"/>
                <w:kern w:val="0"/>
                <w:sz w:val="18"/>
                <w:szCs w:val="18"/>
              </w:rPr>
              <w:t>君政</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组建职业教育集团服务日照经济建设研究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许 红</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“一带一路”背景下日照市技术技能型外语人才培养模式研究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丁莹莹</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日照市青年创业环境分析与优化对策研究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王秀红</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3000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15Y69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音乐教育对当前大学生道德的影响</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经贸学校</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刘洋</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日照市安全生产责任保险研究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公共</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吴郁芬</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15Y71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日照市农村社区体育服务体系的研究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体育部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许杉杉</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1000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艺术教育对未成年人思想品质影响的研究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学生</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张瑾</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3000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新型农民职业教育与培训现状、问题及对策研究——以日照市农民职业教育与培训为例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高黎明</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日照市高校图书馆社会服务实践研究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市社科联</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工会</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r w:rsidRPr="004B2592">
              <w:rPr>
                <w:rFonts w:ascii="楷体_GB2312" w:eastAsia="楷体_GB2312" w:hAnsi="宋体" w:cs="宋体" w:hint="eastAsia"/>
                <w:kern w:val="0"/>
                <w:sz w:val="18"/>
                <w:szCs w:val="18"/>
              </w:rPr>
              <w:t>李慧-工会</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widowControl/>
              <w:snapToGrid w:val="0"/>
              <w:rPr>
                <w:rFonts w:ascii="楷体_GB2312" w:eastAsia="楷体_GB2312" w:hAnsi="宋体" w:cs="宋体" w:hint="eastAsia"/>
                <w:kern w:val="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高职院校培育和践行社会主义核心价值观研究与实践</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办公室</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何子安</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我校基层党建工作的运行和考核研究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办公室</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牟善德</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培育和践行社会主义核心价值观融入我校校园文化建设研究——以“卓越论坛”和校园文化氛围营造为例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办公室</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  波</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我校制度体系建设研究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办公室</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胡  斌</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15Y79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发挥学生入党积极分子作用研究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组织人事处</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孙  刚</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我校师德建设长效机制研究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宣传统战部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牟宗国</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培育和践行社会主义核心价值观融入我校社会实践活动研究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学生工作处</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张永春</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培育和践行社会主义核心价值观融入我校思政课研究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r w:rsidRPr="004B2592">
              <w:rPr>
                <w:rFonts w:ascii="楷体_GB2312" w:eastAsia="楷体_GB2312" w:hint="eastAsia"/>
                <w:sz w:val="18"/>
                <w:szCs w:val="18"/>
              </w:rPr>
              <w:t>思政部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杨保国</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社会主义核心价值观引领高职校园文化建设研究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思政部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滕召青</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培育和践行社会主义核心价值观融入我校校园文化建设研究——以创意设计学院为例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张永宾</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利用新媒体加强社会主义核心价值观教育研究——以日照职业技术学院为例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宣传统战部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李新</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培育和践行社会主义核心价值观融入我校建筑类专业教学研究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学院党建与思政专项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建筑工程学院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殷芳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二级管理体制下教务管理存在的问题及对策</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张海娟</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日照职业技术学院提高课堂教学有效性对策研究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林德山</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15Y89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基于移动终端设备的课程生态体系研究-以计算机文化基础为例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苏旬云</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日照职业技术学院招生宣传方式研究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董凯</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以提升就业质量为导向的高职学生创新创业能力训练研究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袁凤英</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职业教育现代学徒制创新研究——以我校电子商务专业为例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刘梅</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 xml:space="preserve"> 我院“3+</w:t>
            </w:r>
            <w:smartTag w:uri="urn:schemas-microsoft-com:office:smarttags" w:element="chmetcnv">
              <w:smartTagPr>
                <w:attr w:name="UnitName" w:val="”"/>
                <w:attr w:name="SourceValue" w:val="2"/>
                <w:attr w:name="HasSpace" w:val="False"/>
                <w:attr w:name="Negative" w:val="False"/>
                <w:attr w:name="NumberType" w:val="1"/>
                <w:attr w:name="TCSC" w:val="0"/>
              </w:smartTagPr>
              <w:r w:rsidRPr="004B2592">
                <w:rPr>
                  <w:rFonts w:ascii="楷体_GB2312" w:eastAsia="楷体_GB2312" w:hint="eastAsia"/>
                  <w:sz w:val="18"/>
                  <w:szCs w:val="18"/>
                </w:rPr>
                <w:t>2”</w:t>
              </w:r>
            </w:smartTag>
            <w:r w:rsidRPr="004B2592">
              <w:rPr>
                <w:rFonts w:ascii="楷体_GB2312" w:eastAsia="楷体_GB2312" w:hint="eastAsia"/>
                <w:sz w:val="18"/>
                <w:szCs w:val="18"/>
              </w:rPr>
              <w:t>本科贯通培养教学模式下体育课程设置及教学研究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吕东波</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15Y94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大学生创业教育的现状分析与对策建议</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张庆娜</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日照职业技术学院课程体系创新研究---以创意设计类专业基础体系为例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校本重点课题</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徐晓鲁</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color w:val="FF0000"/>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创意设计类专业理论课程教学方法研究与创新</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杜鹃</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基于高校服务社区视角下社区教育发展模式研究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张增</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日照市贝雕工艺产业化发展对策研究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单小眉</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15Y99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日照市乡村旅游发展模式与路径选择</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陈万本</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基于现代学徒制的空乘专业学生顶岗实习模式研究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于海燕</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软件技术专业认知学徒制人才培养模式创新研究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孙永芳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 xml:space="preserve">传统文学融入我校理工科学生人文素养培育研究——以建筑类学生为例 </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李宛臻</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创新高职校园文化建设途经研究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张利华</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中华优秀传统文化融入课堂教学的策略研究——以“美在我心中”活动为例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冯艳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国外先进外语教学方法对我国高职院校的启示与应用</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丁一</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商学院学生职业素质养成教育研究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李文杰</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《市场营销实务》“学做思创”新型教学模式探索-以商学院“五征”班为例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李玲</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翻转课堂教学模式在实践操作类课程中的应用研究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王继彬</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15Y109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基于职业能力导向的高职会计信息化课程改革探索与实践</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刘荣</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财税一体化综合模拟实训研究与实践</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李娟</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芳香植物及其在园林景观中应用的研究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候可雷</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多功能组合式机电一体化专业综合实训台研制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王双林</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大蒜自动收获装备抓取清理工艺及装置的研究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刘加利</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AHP在学风评价指标体系设计于考核机制中的研究与应用</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唐晓春</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层次分析法在高职院校专业设置中的应用研究——以日照职业技术学院为例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尹德玉</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基于Android的物联网实训室实训考核系统的开发与设计</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贾士英</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面向有机农业的智能管理系统研究与实现</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唐海和</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α发动机试验台架研制与实训项目开发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冯德军</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15Y119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15Y119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汽车智能伸缩踏板控制器的研制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张东芹</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即食健康铜藻食品加工工艺研究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郭英</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混凝法处理城市景观水的研究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刘淑霞</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观赏海棠花、叶抗氧化活性的研究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陈芳甜</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散打选项课对我校学生反应时的影响研究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田文乾</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篮球教学对男生体质健康标准五个关键指标的影响研究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学院一般课题自然类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甄凯</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高职教师培育和践行社会主义核心价值观研究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任相梅</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以实践为导向的我院学前教育专业人才培养模式构建与研究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成晓利</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高职院校公共课程分类教学研究与实践——以日照职业技术学院数学课程为例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李加锋</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电子商务与快递业供应链协同发展研究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学院青年基金社科类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杨贺</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15Y129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 xml:space="preserve">模具CAE技术在塑料模具设计中的应用研究    </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厉成龙</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 xml:space="preserve">基于Android的音乐播放器研究与实现    </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郭峰</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 xml:space="preserve">日照地区超市可追溯食品供给特征分析    </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夏之云</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 xml:space="preserve">基于AMT的电动公交换挡控制及整车性能优化   </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学院青年基金自然类</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刘京静</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电子式电压互感器的研制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学院大学生创新项目</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臧健</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张加云</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基于Android的智慧农业管理APP开发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学院大学生创新项目</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孔彬</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崔为花</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珍奇植物万象的组培快繁技术研究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学院大学生创新项目</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ind w:firstLineChars="150" w:firstLine="270"/>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刘娜</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李媛</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班级文化与企业文化相融合的大学生职业素养养成研究----以“森博圆梦班”为例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范伟军</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高职院校济困育人的新模式探讨——以日照职业技术学院“爱心银行”德育教育实践为例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傅  萍</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15Y138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高职院校学生社团建设与大学生自我教育能力培养研究——以日照职业技术学院为例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毛风华</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15Y139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社会主义核心价值观视域下我校大学生行为养成教育长效机制建设研究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高永会</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我校辅导员如何与学生进行有效心理沟通研究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李宛臻</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学校校友资源的开发利用研究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徐  超</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高职女大学生心理健康状况调查研究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王玲玲</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微信平台在大学生就业指导中的应用研究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梁成军</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现代学徒制培养模式下高职学生管理模式的探索与研究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代  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520" w:lineRule="exact"/>
              <w:rPr>
                <w:rFonts w:ascii="楷体_GB2312" w:eastAsia="楷体_GB2312" w:hint="eastAsia"/>
                <w:sz w:val="18"/>
                <w:szCs w:val="18"/>
              </w:rPr>
            </w:pPr>
            <w:r w:rsidRPr="004B2592">
              <w:rPr>
                <w:rFonts w:ascii="楷体_GB2312" w:eastAsia="楷体_GB2312" w:hint="eastAsia"/>
                <w:sz w:val="18"/>
                <w:szCs w:val="18"/>
              </w:rPr>
              <w:t>信息化环境下高校学生精细化管理途径的探索和研究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学院辅导员专项</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spacing w:line="320" w:lineRule="exact"/>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朱  杰</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针对物流车辆的夜用信号警示仪的研究开发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现代汽车学院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李春江</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汽车产业转型升级背景下的汽车人力资源基地建设研究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现代汽车学院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贺庆</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高职院校“现代学徒制”人才培养模式研究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会计学院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厉萍</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15Y149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高职学生职业精神现状与教育优化策略研究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会计学院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刘玉亭</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15000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民营中小公司销售与收款业务内部控制改进研究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会计学院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马永敏</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15000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日照市外贸企业财务管理人才培养研究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会计学院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鲁艳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15000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食品行业涉外交际任务对英语技能要求的调查研究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陈捷</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外贸从业人员的职场英语需求分析</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仪秀芳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基于涉外文秘岗位的高职英语实训项目设计与开发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魏晓燕</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《职场英语写作》在线学习课程构建研究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公共教学部</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赵洪石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多高层钢筋混凝土结构设计优化与应用</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建筑工程学院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刘涛</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lastRenderedPageBreak/>
              <w:t>15Y157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建筑工程技术专业现代学徒制试点—以“锦华班”为例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建筑工程学院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许崇华</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BIM技术在工程造价咨询业的应用研究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建筑工程学院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刘永坤</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15Y159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日照市BIM技术应用现状调查与研究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建筑工程学院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杨志刚</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动漫游戏与虚拟仿真技术在设计、制造等产业领域的集成应用</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杨琳</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20000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圆盘式小型挤出机供料切条机研究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机电工程学院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白雪玲</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低品质矿经济炼铁的研究16</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机电工程学院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孙红英</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体育馆智能照明控制系统研究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机电工程学院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刘田茜</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基于发动机转速的汽车自制氢助燃系统</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机电工程学院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吴健</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校企文化融合视角下---高职院校商科学生创业教育路径探究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张娟</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13000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萝卜帮第三方同城双向电商平台营销策划方案</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粱纪尧</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中小食品企业物流成本控制及应用研究---以日照晶鑫食品有限公司为例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申作兰</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高职院校班级管理中融入企业文化教育探究-以我院亚太班为例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商学院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田秀政</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15Y169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基于开源协议的桌面云开发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电子信息工程学院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毛书朋</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13000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基于云计算的信息技术实训室构建与研究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电子信息工程学院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贾世英</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17000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基于物联网的智慧餐饮系统开发与设计</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电子信息工程学院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陈峰</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17000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15Y172</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15Y172</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基于移动通信技术实训室构建与研究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电子信息工程学院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冯曼</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15Y173</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15Y173</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日照市水库增养殖放流水质、底质本底调查</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黄连光</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color w:val="FF0000"/>
                <w:sz w:val="18"/>
                <w:szCs w:val="18"/>
              </w:rPr>
            </w:pPr>
            <w:r w:rsidRPr="004B2592">
              <w:rPr>
                <w:rFonts w:ascii="楷体_GB2312" w:eastAsia="楷体_GB2312" w:hAnsi="宋体" w:cs="宋体" w:hint="eastAsia"/>
                <w:color w:val="FF0000"/>
                <w:sz w:val="18"/>
                <w:szCs w:val="18"/>
              </w:rPr>
              <w:t>50000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15Y174</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15Y174</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日照市水库增殖放流生物本底调查</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郑振华</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color w:val="FF0000"/>
                <w:sz w:val="18"/>
                <w:szCs w:val="18"/>
              </w:rPr>
            </w:pPr>
            <w:r w:rsidRPr="004B2592">
              <w:rPr>
                <w:rFonts w:ascii="楷体_GB2312" w:eastAsia="楷体_GB2312" w:hAnsi="宋体" w:cs="宋体" w:hint="eastAsia"/>
                <w:color w:val="FF0000"/>
                <w:sz w:val="18"/>
                <w:szCs w:val="18"/>
              </w:rPr>
              <w:t>50000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15Y175</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15Y175</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利用贻贝加工贻贝氨基酸肽液及蛋白粉的探讨性实验</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鲁曾</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50000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15Y176</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15Y176</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大豆连续酶解法提油工艺的研究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鲁曾</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15Y177</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15Y177</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水产废弃料中甲壳质提取工艺的优化</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李秀娟</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15Y178</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15Y178</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日照市酿酒葡萄种植及葡萄酒生产工艺研究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海洋工程学院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丁振</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15Y179</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15Y179</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高职酒店管理专业学生职业能力培养研究——以蓝海班为例</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旅游学院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宁双</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15Y180</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15Y180</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无障碍设计在城市园林规划建设中的研究</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创意设计学院</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葛赛</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12000</w:t>
            </w:r>
          </w:p>
        </w:tc>
      </w:tr>
      <w:tr w:rsidR="004B2592" w:rsidRPr="004B2592" w:rsidTr="004B2592">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15Y181</w:t>
            </w: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int="eastAsia"/>
                <w:sz w:val="18"/>
                <w:szCs w:val="18"/>
              </w:rPr>
              <w:t>15Y181</w:t>
            </w:r>
          </w:p>
        </w:tc>
        <w:tc>
          <w:tcPr>
            <w:tcW w:w="6218"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 xml:space="preserve">往年立项横向 </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r w:rsidRPr="004B2592">
              <w:rPr>
                <w:rFonts w:ascii="楷体_GB2312" w:eastAsia="楷体_GB2312" w:hint="eastAsia"/>
                <w:sz w:val="18"/>
                <w:szCs w:val="18"/>
              </w:rPr>
              <w:t>横向</w:t>
            </w:r>
          </w:p>
        </w:tc>
        <w:tc>
          <w:tcPr>
            <w:tcW w:w="2016"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int="eastAsi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黄海</w:t>
            </w:r>
          </w:p>
        </w:tc>
        <w:tc>
          <w:tcPr>
            <w:tcW w:w="992" w:type="dxa"/>
            <w:tcBorders>
              <w:top w:val="single" w:sz="4" w:space="0" w:color="auto"/>
              <w:left w:val="single" w:sz="4" w:space="0" w:color="auto"/>
              <w:bottom w:val="single" w:sz="4" w:space="0" w:color="auto"/>
              <w:right w:val="single" w:sz="4" w:space="0" w:color="auto"/>
            </w:tcBorders>
            <w:vAlign w:val="center"/>
          </w:tcPr>
          <w:p w:rsidR="004B2592" w:rsidRPr="004B2592" w:rsidRDefault="004B2592" w:rsidP="004B2592">
            <w:pPr>
              <w:rPr>
                <w:rFonts w:ascii="楷体_GB2312" w:eastAsia="楷体_GB2312" w:hAnsi="宋体" w:cs="宋体" w:hint="eastAsia"/>
                <w:sz w:val="18"/>
                <w:szCs w:val="18"/>
              </w:rPr>
            </w:pPr>
            <w:r w:rsidRPr="004B2592">
              <w:rPr>
                <w:rFonts w:ascii="楷体_GB2312" w:eastAsia="楷体_GB2312" w:hAnsi="宋体" w:cs="宋体" w:hint="eastAsia"/>
                <w:sz w:val="18"/>
                <w:szCs w:val="18"/>
              </w:rPr>
              <w:t>50000</w:t>
            </w:r>
          </w:p>
        </w:tc>
      </w:tr>
    </w:tbl>
    <w:p w:rsidR="004430C5" w:rsidRDefault="004430C5">
      <w:pPr>
        <w:rPr>
          <w:rFonts w:hint="eastAsia"/>
        </w:rPr>
      </w:pPr>
    </w:p>
    <w:sectPr w:rsidR="004430C5" w:rsidSect="00D274A4">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4A4"/>
    <w:rsid w:val="00007C48"/>
    <w:rsid w:val="000217CE"/>
    <w:rsid w:val="000516C6"/>
    <w:rsid w:val="000A0E51"/>
    <w:rsid w:val="000C53CC"/>
    <w:rsid w:val="000D71BB"/>
    <w:rsid w:val="000F2D94"/>
    <w:rsid w:val="0011317E"/>
    <w:rsid w:val="00141BFD"/>
    <w:rsid w:val="001B7401"/>
    <w:rsid w:val="001B7682"/>
    <w:rsid w:val="001C7513"/>
    <w:rsid w:val="00206C9E"/>
    <w:rsid w:val="00244DDF"/>
    <w:rsid w:val="00281014"/>
    <w:rsid w:val="00284E9A"/>
    <w:rsid w:val="002E0C20"/>
    <w:rsid w:val="00312525"/>
    <w:rsid w:val="00317634"/>
    <w:rsid w:val="003632FF"/>
    <w:rsid w:val="003B5949"/>
    <w:rsid w:val="003C2BE6"/>
    <w:rsid w:val="003E6D25"/>
    <w:rsid w:val="00404130"/>
    <w:rsid w:val="00440AED"/>
    <w:rsid w:val="004430C5"/>
    <w:rsid w:val="00451CEF"/>
    <w:rsid w:val="00467A70"/>
    <w:rsid w:val="00475330"/>
    <w:rsid w:val="004B2592"/>
    <w:rsid w:val="004B3033"/>
    <w:rsid w:val="004C5C4E"/>
    <w:rsid w:val="004D7300"/>
    <w:rsid w:val="004E3F83"/>
    <w:rsid w:val="004E537C"/>
    <w:rsid w:val="004E780A"/>
    <w:rsid w:val="00590E47"/>
    <w:rsid w:val="00592690"/>
    <w:rsid w:val="005E0335"/>
    <w:rsid w:val="00637E7D"/>
    <w:rsid w:val="00642971"/>
    <w:rsid w:val="0065761B"/>
    <w:rsid w:val="00706471"/>
    <w:rsid w:val="00740A5C"/>
    <w:rsid w:val="0076704E"/>
    <w:rsid w:val="007A2646"/>
    <w:rsid w:val="007A4B0F"/>
    <w:rsid w:val="007B0689"/>
    <w:rsid w:val="007B7CFB"/>
    <w:rsid w:val="007C3053"/>
    <w:rsid w:val="007E6435"/>
    <w:rsid w:val="008574AC"/>
    <w:rsid w:val="00871BBD"/>
    <w:rsid w:val="008737B1"/>
    <w:rsid w:val="0087501C"/>
    <w:rsid w:val="00883FFB"/>
    <w:rsid w:val="008C7F94"/>
    <w:rsid w:val="008D350E"/>
    <w:rsid w:val="008D6820"/>
    <w:rsid w:val="00916A5B"/>
    <w:rsid w:val="0094460D"/>
    <w:rsid w:val="00966F99"/>
    <w:rsid w:val="009713E7"/>
    <w:rsid w:val="00980D9D"/>
    <w:rsid w:val="00981349"/>
    <w:rsid w:val="009930D9"/>
    <w:rsid w:val="009B43FD"/>
    <w:rsid w:val="009B4DB7"/>
    <w:rsid w:val="009C3B45"/>
    <w:rsid w:val="009F1BF5"/>
    <w:rsid w:val="00A0508E"/>
    <w:rsid w:val="00A20799"/>
    <w:rsid w:val="00A25A7D"/>
    <w:rsid w:val="00A60E3D"/>
    <w:rsid w:val="00AD26D1"/>
    <w:rsid w:val="00AE3DC4"/>
    <w:rsid w:val="00B1426D"/>
    <w:rsid w:val="00B65625"/>
    <w:rsid w:val="00B70186"/>
    <w:rsid w:val="00B72659"/>
    <w:rsid w:val="00B8554C"/>
    <w:rsid w:val="00C0078D"/>
    <w:rsid w:val="00C00D75"/>
    <w:rsid w:val="00C07CF7"/>
    <w:rsid w:val="00C138B1"/>
    <w:rsid w:val="00C25FE4"/>
    <w:rsid w:val="00C4577E"/>
    <w:rsid w:val="00CC015F"/>
    <w:rsid w:val="00D012A5"/>
    <w:rsid w:val="00D274A4"/>
    <w:rsid w:val="00D40E84"/>
    <w:rsid w:val="00D5101D"/>
    <w:rsid w:val="00D84472"/>
    <w:rsid w:val="00DC1C2F"/>
    <w:rsid w:val="00DD4FA5"/>
    <w:rsid w:val="00E0141C"/>
    <w:rsid w:val="00E14880"/>
    <w:rsid w:val="00E375C6"/>
    <w:rsid w:val="00E60CF2"/>
    <w:rsid w:val="00E70DF9"/>
    <w:rsid w:val="00E72A49"/>
    <w:rsid w:val="00EB7506"/>
    <w:rsid w:val="00EF2BF2"/>
    <w:rsid w:val="00F47768"/>
    <w:rsid w:val="00F76DFE"/>
    <w:rsid w:val="00F87822"/>
    <w:rsid w:val="00FB09B1"/>
    <w:rsid w:val="00FC6005"/>
    <w:rsid w:val="00FD5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4A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
    <w:name w:val=" Char Char Char Char Char Char"/>
    <w:basedOn w:val="a"/>
    <w:rsid w:val="007A2646"/>
    <w:pPr>
      <w:adjustRightInd w:val="0"/>
      <w:snapToGrid w:val="0"/>
      <w:spacing w:line="360" w:lineRule="auto"/>
      <w:ind w:firstLineChars="200" w:firstLine="640"/>
    </w:pPr>
    <w:rPr>
      <w:rFonts w:eastAsia="仿宋_GB2312"/>
      <w:sz w:val="32"/>
      <w:szCs w:val="32"/>
    </w:rPr>
  </w:style>
  <w:style w:type="paragraph" w:styleId="a3">
    <w:name w:val="Normal (Web)"/>
    <w:basedOn w:val="a"/>
    <w:unhideWhenUsed/>
    <w:rsid w:val="00C0078D"/>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CharCharCharCharCharCharCharCharCharCharCharCharCharCharCharChar1CharCharCharChar">
    <w:name w:val=" Char Char Char Char Char Char Char Char Char Char Char Char Char Char Char Char Char Char Char Char Char Char Char Char Char Char Char Char1 Char Char Char Char"/>
    <w:basedOn w:val="a"/>
    <w:rsid w:val="00871BBD"/>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63575626">
      <w:bodyDiv w:val="1"/>
      <w:marLeft w:val="0"/>
      <w:marRight w:val="0"/>
      <w:marTop w:val="0"/>
      <w:marBottom w:val="0"/>
      <w:divBdr>
        <w:top w:val="none" w:sz="0" w:space="0" w:color="auto"/>
        <w:left w:val="none" w:sz="0" w:space="0" w:color="auto"/>
        <w:bottom w:val="none" w:sz="0" w:space="0" w:color="auto"/>
        <w:right w:val="none" w:sz="0" w:space="0" w:color="auto"/>
      </w:divBdr>
    </w:div>
    <w:div w:id="211505965">
      <w:bodyDiv w:val="1"/>
      <w:marLeft w:val="0"/>
      <w:marRight w:val="0"/>
      <w:marTop w:val="0"/>
      <w:marBottom w:val="0"/>
      <w:divBdr>
        <w:top w:val="none" w:sz="0" w:space="0" w:color="auto"/>
        <w:left w:val="none" w:sz="0" w:space="0" w:color="auto"/>
        <w:bottom w:val="none" w:sz="0" w:space="0" w:color="auto"/>
        <w:right w:val="none" w:sz="0" w:space="0" w:color="auto"/>
      </w:divBdr>
    </w:div>
    <w:div w:id="317921409">
      <w:bodyDiv w:val="1"/>
      <w:marLeft w:val="0"/>
      <w:marRight w:val="0"/>
      <w:marTop w:val="0"/>
      <w:marBottom w:val="0"/>
      <w:divBdr>
        <w:top w:val="none" w:sz="0" w:space="0" w:color="auto"/>
        <w:left w:val="none" w:sz="0" w:space="0" w:color="auto"/>
        <w:bottom w:val="none" w:sz="0" w:space="0" w:color="auto"/>
        <w:right w:val="none" w:sz="0" w:space="0" w:color="auto"/>
      </w:divBdr>
    </w:div>
    <w:div w:id="348340852">
      <w:bodyDiv w:val="1"/>
      <w:marLeft w:val="0"/>
      <w:marRight w:val="0"/>
      <w:marTop w:val="0"/>
      <w:marBottom w:val="0"/>
      <w:divBdr>
        <w:top w:val="none" w:sz="0" w:space="0" w:color="auto"/>
        <w:left w:val="none" w:sz="0" w:space="0" w:color="auto"/>
        <w:bottom w:val="none" w:sz="0" w:space="0" w:color="auto"/>
        <w:right w:val="none" w:sz="0" w:space="0" w:color="auto"/>
      </w:divBdr>
    </w:div>
    <w:div w:id="362899605">
      <w:bodyDiv w:val="1"/>
      <w:marLeft w:val="0"/>
      <w:marRight w:val="0"/>
      <w:marTop w:val="0"/>
      <w:marBottom w:val="0"/>
      <w:divBdr>
        <w:top w:val="none" w:sz="0" w:space="0" w:color="auto"/>
        <w:left w:val="none" w:sz="0" w:space="0" w:color="auto"/>
        <w:bottom w:val="none" w:sz="0" w:space="0" w:color="auto"/>
        <w:right w:val="none" w:sz="0" w:space="0" w:color="auto"/>
      </w:divBdr>
    </w:div>
    <w:div w:id="515849813">
      <w:bodyDiv w:val="1"/>
      <w:marLeft w:val="0"/>
      <w:marRight w:val="0"/>
      <w:marTop w:val="0"/>
      <w:marBottom w:val="0"/>
      <w:divBdr>
        <w:top w:val="none" w:sz="0" w:space="0" w:color="auto"/>
        <w:left w:val="none" w:sz="0" w:space="0" w:color="auto"/>
        <w:bottom w:val="none" w:sz="0" w:space="0" w:color="auto"/>
        <w:right w:val="none" w:sz="0" w:space="0" w:color="auto"/>
      </w:divBdr>
    </w:div>
    <w:div w:id="853224269">
      <w:bodyDiv w:val="1"/>
      <w:marLeft w:val="0"/>
      <w:marRight w:val="0"/>
      <w:marTop w:val="0"/>
      <w:marBottom w:val="0"/>
      <w:divBdr>
        <w:top w:val="none" w:sz="0" w:space="0" w:color="auto"/>
        <w:left w:val="none" w:sz="0" w:space="0" w:color="auto"/>
        <w:bottom w:val="none" w:sz="0" w:space="0" w:color="auto"/>
        <w:right w:val="none" w:sz="0" w:space="0" w:color="auto"/>
      </w:divBdr>
    </w:div>
    <w:div w:id="905653480">
      <w:bodyDiv w:val="1"/>
      <w:marLeft w:val="0"/>
      <w:marRight w:val="0"/>
      <w:marTop w:val="0"/>
      <w:marBottom w:val="0"/>
      <w:divBdr>
        <w:top w:val="none" w:sz="0" w:space="0" w:color="auto"/>
        <w:left w:val="none" w:sz="0" w:space="0" w:color="auto"/>
        <w:bottom w:val="none" w:sz="0" w:space="0" w:color="auto"/>
        <w:right w:val="none" w:sz="0" w:space="0" w:color="auto"/>
      </w:divBdr>
    </w:div>
    <w:div w:id="1105081150">
      <w:bodyDiv w:val="1"/>
      <w:marLeft w:val="0"/>
      <w:marRight w:val="0"/>
      <w:marTop w:val="0"/>
      <w:marBottom w:val="0"/>
      <w:divBdr>
        <w:top w:val="none" w:sz="0" w:space="0" w:color="auto"/>
        <w:left w:val="none" w:sz="0" w:space="0" w:color="auto"/>
        <w:bottom w:val="none" w:sz="0" w:space="0" w:color="auto"/>
        <w:right w:val="none" w:sz="0" w:space="0" w:color="auto"/>
      </w:divBdr>
    </w:div>
    <w:div w:id="1214535865">
      <w:bodyDiv w:val="1"/>
      <w:marLeft w:val="0"/>
      <w:marRight w:val="0"/>
      <w:marTop w:val="0"/>
      <w:marBottom w:val="0"/>
      <w:divBdr>
        <w:top w:val="none" w:sz="0" w:space="0" w:color="auto"/>
        <w:left w:val="none" w:sz="0" w:space="0" w:color="auto"/>
        <w:bottom w:val="none" w:sz="0" w:space="0" w:color="auto"/>
        <w:right w:val="none" w:sz="0" w:space="0" w:color="auto"/>
      </w:divBdr>
    </w:div>
    <w:div w:id="1254821764">
      <w:bodyDiv w:val="1"/>
      <w:marLeft w:val="0"/>
      <w:marRight w:val="0"/>
      <w:marTop w:val="0"/>
      <w:marBottom w:val="0"/>
      <w:divBdr>
        <w:top w:val="none" w:sz="0" w:space="0" w:color="auto"/>
        <w:left w:val="none" w:sz="0" w:space="0" w:color="auto"/>
        <w:bottom w:val="none" w:sz="0" w:space="0" w:color="auto"/>
        <w:right w:val="none" w:sz="0" w:space="0" w:color="auto"/>
      </w:divBdr>
    </w:div>
    <w:div w:id="1415468424">
      <w:bodyDiv w:val="1"/>
      <w:marLeft w:val="0"/>
      <w:marRight w:val="0"/>
      <w:marTop w:val="0"/>
      <w:marBottom w:val="0"/>
      <w:divBdr>
        <w:top w:val="none" w:sz="0" w:space="0" w:color="auto"/>
        <w:left w:val="none" w:sz="0" w:space="0" w:color="auto"/>
        <w:bottom w:val="none" w:sz="0" w:space="0" w:color="auto"/>
        <w:right w:val="none" w:sz="0" w:space="0" w:color="auto"/>
      </w:divBdr>
    </w:div>
    <w:div w:id="1519660078">
      <w:bodyDiv w:val="1"/>
      <w:marLeft w:val="0"/>
      <w:marRight w:val="0"/>
      <w:marTop w:val="0"/>
      <w:marBottom w:val="0"/>
      <w:divBdr>
        <w:top w:val="none" w:sz="0" w:space="0" w:color="auto"/>
        <w:left w:val="none" w:sz="0" w:space="0" w:color="auto"/>
        <w:bottom w:val="none" w:sz="0" w:space="0" w:color="auto"/>
        <w:right w:val="none" w:sz="0" w:space="0" w:color="auto"/>
      </w:divBdr>
    </w:div>
    <w:div w:id="1762486085">
      <w:bodyDiv w:val="1"/>
      <w:marLeft w:val="0"/>
      <w:marRight w:val="0"/>
      <w:marTop w:val="0"/>
      <w:marBottom w:val="0"/>
      <w:divBdr>
        <w:top w:val="none" w:sz="0" w:space="0" w:color="auto"/>
        <w:left w:val="none" w:sz="0" w:space="0" w:color="auto"/>
        <w:bottom w:val="none" w:sz="0" w:space="0" w:color="auto"/>
        <w:right w:val="none" w:sz="0" w:space="0" w:color="auto"/>
      </w:divBdr>
    </w:div>
    <w:div w:id="1769932835">
      <w:bodyDiv w:val="1"/>
      <w:marLeft w:val="0"/>
      <w:marRight w:val="0"/>
      <w:marTop w:val="0"/>
      <w:marBottom w:val="0"/>
      <w:divBdr>
        <w:top w:val="none" w:sz="0" w:space="0" w:color="auto"/>
        <w:left w:val="none" w:sz="0" w:space="0" w:color="auto"/>
        <w:bottom w:val="none" w:sz="0" w:space="0" w:color="auto"/>
        <w:right w:val="none" w:sz="0" w:space="0" w:color="auto"/>
      </w:divBdr>
    </w:div>
    <w:div w:id="1965967875">
      <w:bodyDiv w:val="1"/>
      <w:marLeft w:val="0"/>
      <w:marRight w:val="0"/>
      <w:marTop w:val="0"/>
      <w:marBottom w:val="0"/>
      <w:divBdr>
        <w:top w:val="none" w:sz="0" w:space="0" w:color="auto"/>
        <w:left w:val="none" w:sz="0" w:space="0" w:color="auto"/>
        <w:bottom w:val="none" w:sz="0" w:space="0" w:color="auto"/>
        <w:right w:val="none" w:sz="0" w:space="0" w:color="auto"/>
      </w:divBdr>
    </w:div>
    <w:div w:id="2015037295">
      <w:bodyDiv w:val="1"/>
      <w:marLeft w:val="0"/>
      <w:marRight w:val="0"/>
      <w:marTop w:val="0"/>
      <w:marBottom w:val="0"/>
      <w:divBdr>
        <w:top w:val="none" w:sz="0" w:space="0" w:color="auto"/>
        <w:left w:val="none" w:sz="0" w:space="0" w:color="auto"/>
        <w:bottom w:val="none" w:sz="0" w:space="0" w:color="auto"/>
        <w:right w:val="none" w:sz="0" w:space="0" w:color="auto"/>
      </w:divBdr>
    </w:div>
    <w:div w:id="20718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5243-600F-47F2-80AB-D2295193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1440</Words>
  <Characters>8212</Characters>
  <Application>Microsoft Office Word</Application>
  <DocSecurity>0</DocSecurity>
  <Lines>68</Lines>
  <Paragraphs>19</Paragraphs>
  <ScaleCrop>false</ScaleCrop>
  <Company>微软中国</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User</cp:lastModifiedBy>
  <cp:revision>2</cp:revision>
  <dcterms:created xsi:type="dcterms:W3CDTF">2016-04-27T00:22:00Z</dcterms:created>
  <dcterms:modified xsi:type="dcterms:W3CDTF">2016-04-27T00:22:00Z</dcterms:modified>
</cp:coreProperties>
</file>